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FFF37" w14:textId="70C8EBF8" w:rsidR="0061051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81234" w:rsidRPr="00081234">
        <w:rPr>
          <w:rFonts w:eastAsia="SimSun" w:cs="Arial"/>
          <w:b/>
          <w:kern w:val="0"/>
          <w:sz w:val="28"/>
          <w:szCs w:val="28"/>
          <w:lang w:val="en-US" w:eastAsia="en-US"/>
        </w:rPr>
        <w:t>R2-2305020</w:t>
      </w:r>
    </w:p>
    <w:p w14:paraId="02AE9895" w14:textId="77777777" w:rsidR="00610512"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Incheon, Korea, May 22nd</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2-2302852</w:t>
      </w:r>
    </w:p>
    <w:p w14:paraId="7F20370F" w14:textId="77777777" w:rsidR="00610512"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1ED3DBB" w14:textId="77777777" w:rsidR="00610512"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Configured Grant enhancements for XR</w:t>
      </w:r>
      <w:r>
        <w:rPr>
          <w:rFonts w:cs="Arial"/>
          <w:b/>
          <w:bCs/>
          <w:snapToGrid w:val="0"/>
          <w:kern w:val="0"/>
          <w:sz w:val="28"/>
          <w:szCs w:val="28"/>
        </w:rPr>
        <w:t xml:space="preserve"> </w:t>
      </w:r>
    </w:p>
    <w:p w14:paraId="5565DC1D" w14:textId="77777777" w:rsidR="00610512"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7.5.4.3</w:t>
      </w:r>
    </w:p>
    <w:p w14:paraId="3FBA32AE" w14:textId="77777777" w:rsidR="0061051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537177F" w14:textId="77777777" w:rsidR="0061051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0D8D5E9F" w14:textId="77777777" w:rsidR="00610512" w:rsidRDefault="00000000">
      <w:pPr>
        <w:rPr>
          <w:lang w:val="en-US" w:eastAsia="zh-CN"/>
        </w:rPr>
      </w:pPr>
      <w:r>
        <w:rPr>
          <w:rFonts w:cs="Arial"/>
          <w:color w:val="000000"/>
        </w:rPr>
        <w:t>During the study item it was agreed t</w:t>
      </w:r>
      <w:r>
        <w:rPr>
          <w:rFonts w:cs="Arial" w:hint="eastAsia"/>
          <w:color w:val="000000"/>
          <w:lang w:val="en-US" w:eastAsia="zh-CN"/>
        </w:rPr>
        <w:t xml:space="preserve">o support multiple CG occasions in one CG period for XR capacity </w:t>
      </w:r>
      <w:proofErr w:type="gramStart"/>
      <w:r>
        <w:rPr>
          <w:rFonts w:cs="Arial" w:hint="eastAsia"/>
          <w:color w:val="000000"/>
          <w:lang w:val="en-US" w:eastAsia="zh-CN"/>
        </w:rPr>
        <w:t>improvement[</w:t>
      </w:r>
      <w:proofErr w:type="gramEnd"/>
      <w:r>
        <w:rPr>
          <w:rFonts w:cs="Arial" w:hint="eastAsia"/>
          <w:color w:val="000000"/>
          <w:lang w:val="en-US" w:eastAsia="zh-CN"/>
        </w:rPr>
        <w:t>1]</w:t>
      </w:r>
      <w:r>
        <w:t>.</w:t>
      </w:r>
      <w:r>
        <w:rPr>
          <w:rFonts w:hint="eastAsia"/>
          <w:lang w:val="en-US" w:eastAsia="zh-CN"/>
        </w:rPr>
        <w:t xml:space="preserve"> And in the XR </w:t>
      </w:r>
      <w:proofErr w:type="gramStart"/>
      <w:r>
        <w:rPr>
          <w:rFonts w:hint="eastAsia"/>
          <w:lang w:val="en-US" w:eastAsia="zh-CN"/>
        </w:rPr>
        <w:t>WID[</w:t>
      </w:r>
      <w:proofErr w:type="gramEnd"/>
      <w:r>
        <w:rPr>
          <w:rFonts w:hint="eastAsia"/>
          <w:lang w:val="en-US" w:eastAsia="zh-CN"/>
        </w:rPr>
        <w:t>3], the following objective has been included:</w:t>
      </w:r>
    </w:p>
    <w:p w14:paraId="0373BA6E" w14:textId="77777777" w:rsidR="00610512" w:rsidRDefault="00000000">
      <w:pPr>
        <w:pStyle w:val="B1"/>
        <w:rPr>
          <w:i/>
          <w:iCs/>
        </w:rPr>
      </w:pPr>
      <w:r>
        <w:t>-</w:t>
      </w:r>
      <w:r>
        <w:tab/>
      </w:r>
      <w:r>
        <w:rPr>
          <w:i/>
          <w:iCs/>
        </w:rPr>
        <w:t xml:space="preserve">Multiple Configured Grant (CG) PUSCH transmission occasions in a period of a single CG PUSCH configuration (RAN1, RAN2);  </w:t>
      </w:r>
    </w:p>
    <w:p w14:paraId="09C3B813" w14:textId="77777777" w:rsidR="00610512" w:rsidRDefault="00000000">
      <w:pPr>
        <w:pStyle w:val="B1"/>
        <w:rPr>
          <w:i/>
          <w:iCs/>
        </w:rPr>
      </w:pPr>
      <w:r>
        <w:rPr>
          <w:i/>
          <w:iCs/>
        </w:rPr>
        <w:t>-</w:t>
      </w:r>
      <w:r>
        <w:rPr>
          <w:i/>
          <w:iCs/>
        </w:rPr>
        <w:tab/>
        <w:t>Dynamic indication of unused CG PUSCH occasion(s) based on Uplink Control Information (UCI) by the UE (RAN1, RAN2);</w:t>
      </w:r>
    </w:p>
    <w:p w14:paraId="34796787" w14:textId="77777777" w:rsidR="00610512" w:rsidRDefault="00000000">
      <w:pPr>
        <w:rPr>
          <w:rFonts w:cs="Arial"/>
          <w:color w:val="000000"/>
          <w:lang w:val="en-US"/>
        </w:rPr>
      </w:pPr>
      <w:r>
        <w:rPr>
          <w:rFonts w:cs="Arial"/>
          <w:color w:val="000000"/>
          <w:lang w:val="en-US"/>
        </w:rPr>
        <w:t xml:space="preserve">In RAN#99 meeting, retransmission-less CG was also discussed, and it has been concluded to be discussed in RAN2 XR session. </w:t>
      </w:r>
    </w:p>
    <w:p w14:paraId="3085697B" w14:textId="77777777" w:rsidR="00610512" w:rsidRDefault="00000000">
      <w:pPr>
        <w:rPr>
          <w:lang w:val="en-US" w:eastAsia="zh-CN"/>
        </w:rPr>
      </w:pPr>
      <w:r>
        <w:rPr>
          <w:rFonts w:hint="eastAsia"/>
          <w:lang w:val="en-US" w:eastAsia="zh-CN"/>
        </w:rPr>
        <w:t>In RAN2#121bis meeting, the following agreements have been made:</w:t>
      </w:r>
    </w:p>
    <w:tbl>
      <w:tblPr>
        <w:tblStyle w:val="TableGrid"/>
        <w:tblW w:w="0" w:type="auto"/>
        <w:tblLook w:val="04A0" w:firstRow="1" w:lastRow="0" w:firstColumn="1" w:lastColumn="0" w:noHBand="0" w:noVBand="1"/>
      </w:tblPr>
      <w:tblGrid>
        <w:gridCol w:w="9771"/>
      </w:tblGrid>
      <w:tr w:rsidR="00610512" w14:paraId="27F1B723" w14:textId="77777777">
        <w:tc>
          <w:tcPr>
            <w:tcW w:w="9997" w:type="dxa"/>
          </w:tcPr>
          <w:p w14:paraId="092C5972" w14:textId="77777777" w:rsidR="00610512" w:rsidRPr="00081234" w:rsidRDefault="00000000" w:rsidP="00081234">
            <w:pPr>
              <w:numPr>
                <w:ilvl w:val="0"/>
                <w:numId w:val="6"/>
              </w:numPr>
              <w:tabs>
                <w:tab w:val="clear" w:pos="9990"/>
                <w:tab w:val="left" w:pos="1619"/>
              </w:tabs>
              <w:spacing w:before="60"/>
              <w:ind w:leftChars="100" w:left="570"/>
              <w:rPr>
                <w:rFonts w:eastAsia="Times New Roman"/>
                <w:bCs/>
                <w:lang w:eastAsia="ja-JP"/>
              </w:rPr>
            </w:pPr>
            <w:r w:rsidRPr="00081234">
              <w:rPr>
                <w:rFonts w:eastAsia="Times New Roman"/>
                <w:bCs/>
                <w:lang w:eastAsia="ja-JP"/>
              </w:rPr>
              <w:t>There is support to adopt NTN solution for the retransmission-less CG.</w:t>
            </w:r>
          </w:p>
          <w:p w14:paraId="05702204" w14:textId="77777777" w:rsidR="00610512" w:rsidRPr="00081234" w:rsidRDefault="00000000" w:rsidP="00081234">
            <w:pPr>
              <w:numPr>
                <w:ilvl w:val="0"/>
                <w:numId w:val="6"/>
              </w:numPr>
              <w:tabs>
                <w:tab w:val="clear" w:pos="9990"/>
                <w:tab w:val="left" w:pos="1619"/>
              </w:tabs>
              <w:spacing w:before="60"/>
              <w:ind w:leftChars="100" w:left="570"/>
              <w:rPr>
                <w:rFonts w:eastAsia="Times New Roman"/>
                <w:bCs/>
                <w:lang w:eastAsia="ja-JP"/>
              </w:rPr>
            </w:pPr>
            <w:r w:rsidRPr="00081234">
              <w:rPr>
                <w:rFonts w:eastAsia="Times New Roman"/>
                <w:bCs/>
                <w:lang w:eastAsia="ja-JP"/>
              </w:rPr>
              <w:t>If adopted, RAN2 aims to only consider option1 or option 2:</w:t>
            </w:r>
          </w:p>
          <w:p w14:paraId="39D59E63" w14:textId="77777777" w:rsidR="00610512" w:rsidRPr="00081234" w:rsidRDefault="00000000" w:rsidP="00081234">
            <w:pPr>
              <w:tabs>
                <w:tab w:val="left" w:pos="1619"/>
              </w:tabs>
              <w:spacing w:before="60"/>
              <w:ind w:leftChars="300" w:left="630"/>
              <w:rPr>
                <w:rFonts w:eastAsia="Times New Roman"/>
                <w:bCs/>
                <w:lang w:eastAsia="ja-JP"/>
              </w:rPr>
            </w:pPr>
            <w:r w:rsidRPr="00081234">
              <w:rPr>
                <w:rFonts w:eastAsia="Times New Roman"/>
                <w:bCs/>
                <w:lang w:eastAsia="ja-JP"/>
              </w:rPr>
              <w:t xml:space="preserve">Option1: Adapt the NTN solution by disabling the HARQ RTT timer per CG configuration for CG. </w:t>
            </w:r>
          </w:p>
          <w:p w14:paraId="532A18E0" w14:textId="77777777" w:rsidR="00610512" w:rsidRPr="00081234" w:rsidRDefault="00000000" w:rsidP="00081234">
            <w:pPr>
              <w:tabs>
                <w:tab w:val="left" w:pos="1619"/>
              </w:tabs>
              <w:spacing w:before="60"/>
              <w:ind w:leftChars="300" w:left="630"/>
              <w:rPr>
                <w:rFonts w:eastAsia="Times New Roman"/>
                <w:bCs/>
                <w:lang w:eastAsia="ja-JP"/>
              </w:rPr>
            </w:pPr>
            <w:r w:rsidRPr="00081234">
              <w:rPr>
                <w:rFonts w:eastAsia="Times New Roman"/>
                <w:bCs/>
                <w:lang w:eastAsia="ja-JP"/>
              </w:rPr>
              <w:t xml:space="preserve">Option2: Adapt the NTN solution by disabling the HARQ RTT timer per HARQ processes for both CG and DG. </w:t>
            </w:r>
          </w:p>
          <w:p w14:paraId="11092C35" w14:textId="77777777" w:rsidR="00610512" w:rsidRDefault="00000000" w:rsidP="00081234">
            <w:pPr>
              <w:numPr>
                <w:ilvl w:val="0"/>
                <w:numId w:val="6"/>
              </w:numPr>
              <w:tabs>
                <w:tab w:val="clear" w:pos="9990"/>
                <w:tab w:val="left" w:pos="1619"/>
              </w:tabs>
              <w:spacing w:before="60"/>
              <w:ind w:leftChars="100" w:left="570"/>
              <w:rPr>
                <w:lang w:val="en-US" w:eastAsia="zh-CN"/>
              </w:rPr>
            </w:pPr>
            <w:r w:rsidRPr="00081234">
              <w:rPr>
                <w:rFonts w:eastAsia="Times New Roman"/>
                <w:bCs/>
                <w:lang w:eastAsia="ja-JP"/>
              </w:rPr>
              <w:t>FFS how the solution ensures consistent HARQ operation.</w:t>
            </w:r>
          </w:p>
        </w:tc>
      </w:tr>
    </w:tbl>
    <w:p w14:paraId="74F87C01" w14:textId="77777777" w:rsidR="00610512"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color w:val="000000"/>
          <w:lang w:val="en-US" w:eastAsia="zh-CN"/>
        </w:rPr>
        <w:t>the above</w:t>
      </w:r>
      <w:r>
        <w:rPr>
          <w:rFonts w:cs="Arial"/>
          <w:color w:val="000000"/>
          <w:lang w:val="en-US"/>
        </w:rPr>
        <w:t xml:space="preserve"> </w:t>
      </w:r>
      <w:r>
        <w:rPr>
          <w:rFonts w:cs="Arial" w:hint="eastAsia"/>
          <w:color w:val="000000"/>
          <w:lang w:val="en-US" w:eastAsia="zh-CN"/>
        </w:rPr>
        <w:t>issue</w:t>
      </w:r>
      <w:r>
        <w:rPr>
          <w:rFonts w:cs="Arial"/>
          <w:color w:val="000000"/>
          <w:lang w:val="en-US" w:eastAsia="zh-CN"/>
        </w:rPr>
        <w:t>s</w:t>
      </w:r>
      <w:r>
        <w:rPr>
          <w:rFonts w:cs="Arial" w:hint="eastAsia"/>
          <w:color w:val="000000"/>
          <w:lang w:val="en-US" w:eastAsia="zh-CN"/>
        </w:rPr>
        <w:t xml:space="preserve"> </w:t>
      </w:r>
      <w:r>
        <w:rPr>
          <w:rFonts w:cs="Arial"/>
          <w:color w:val="000000"/>
          <w:lang w:val="en-US" w:eastAsia="zh-CN"/>
        </w:rPr>
        <w:t xml:space="preserve">and </w:t>
      </w:r>
      <w:r>
        <w:rPr>
          <w:rFonts w:cs="Arial" w:hint="eastAsia"/>
          <w:color w:val="000000"/>
          <w:lang w:val="en-US" w:eastAsia="zh-CN"/>
        </w:rPr>
        <w:t>give our proposals.</w:t>
      </w:r>
    </w:p>
    <w:p w14:paraId="7BBA23E0" w14:textId="77777777" w:rsidR="0061051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2EFF4FC6" w14:textId="77777777" w:rsidR="00610512" w:rsidRPr="00081234" w:rsidRDefault="00000000" w:rsidP="00081234">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2.1 </w:t>
      </w:r>
      <w:r w:rsidRPr="00081234">
        <w:rPr>
          <w:rFonts w:cs="Arial"/>
          <w:b/>
          <w:bCs/>
          <w:color w:val="000000"/>
          <w:sz w:val="24"/>
          <w:szCs w:val="24"/>
          <w:lang w:val="en-US" w:eastAsia="zh-CN"/>
        </w:rPr>
        <w:t>Multiple Configured Grant PUSCH transmission occasions in a CG period</w:t>
      </w:r>
    </w:p>
    <w:p w14:paraId="13A41B1A" w14:textId="77777777" w:rsidR="00610512" w:rsidRDefault="00000000">
      <w:pPr>
        <w:rPr>
          <w:lang w:val="en-US"/>
        </w:rPr>
      </w:pPr>
      <w:r>
        <w:t xml:space="preserve">Multiple Configured Grant (CG) PUSCH transmission occasions in a </w:t>
      </w:r>
      <w:r>
        <w:rPr>
          <w:rFonts w:hint="eastAsia"/>
          <w:lang w:val="en-US" w:eastAsia="zh-CN"/>
        </w:rPr>
        <w:t xml:space="preserve">CG </w:t>
      </w:r>
      <w:r>
        <w:t>period</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mainly used to transmit multiple TBs in one CG period. To some extent, it can be seen as a CG enhancement. </w:t>
      </w:r>
    </w:p>
    <w:p w14:paraId="19B06274" w14:textId="77777777" w:rsidR="00610512" w:rsidRDefault="00000000">
      <w:pPr>
        <w:spacing w:line="260" w:lineRule="auto"/>
        <w:outlineLvl w:val="1"/>
        <w:rPr>
          <w:b/>
          <w:bCs/>
          <w:lang w:val="en-US" w:eastAsia="zh-CN"/>
        </w:rPr>
      </w:pPr>
      <w:r>
        <w:rPr>
          <w:rFonts w:cs="Arial" w:hint="eastAsia"/>
          <w:b/>
          <w:bCs/>
          <w:color w:val="000000"/>
          <w:lang w:val="en-US" w:eastAsia="zh-CN"/>
        </w:rPr>
        <w:t xml:space="preserve">2.1.1 </w:t>
      </w:r>
      <w:r>
        <w:rPr>
          <w:b/>
          <w:bCs/>
        </w:rPr>
        <w:t xml:space="preserve">Multiple </w:t>
      </w:r>
      <w:r>
        <w:rPr>
          <w:rFonts w:hint="eastAsia"/>
          <w:b/>
          <w:bCs/>
          <w:lang w:val="en-US" w:eastAsia="zh-CN"/>
        </w:rPr>
        <w:t>CG</w:t>
      </w:r>
      <w:r>
        <w:rPr>
          <w:b/>
          <w:bCs/>
        </w:rPr>
        <w:t xml:space="preserve"> occasions</w:t>
      </w:r>
      <w:r>
        <w:rPr>
          <w:rFonts w:hint="eastAsia"/>
          <w:b/>
          <w:bCs/>
          <w:lang w:val="en-US" w:eastAsia="zh-CN"/>
        </w:rPr>
        <w:t xml:space="preserve"> configuration</w:t>
      </w:r>
    </w:p>
    <w:p w14:paraId="1EBDC3D9" w14:textId="77777777" w:rsidR="00610512" w:rsidRDefault="00000000">
      <w:pPr>
        <w:spacing w:before="120" w:after="120"/>
      </w:pPr>
      <w:r>
        <w:rPr>
          <w:rFonts w:hint="eastAsia"/>
          <w:lang w:val="en-US" w:eastAsia="zh-CN"/>
        </w:rPr>
        <w:t>In the current NR specification, t</w:t>
      </w:r>
      <w:r>
        <w:rPr>
          <w:rFonts w:hint="eastAsia"/>
        </w:rPr>
        <w:t>wo type</w:t>
      </w:r>
      <w:r>
        <w:t xml:space="preserve">s of </w:t>
      </w:r>
      <w:r>
        <w:rPr>
          <w:rFonts w:hint="eastAsia"/>
        </w:rPr>
        <w:t>c</w:t>
      </w:r>
      <w:r>
        <w:t xml:space="preserve">onfigured grant </w:t>
      </w:r>
      <w:r>
        <w:rPr>
          <w:rFonts w:hint="eastAsia"/>
          <w:lang w:val="en-US" w:eastAsia="zh-CN"/>
        </w:rPr>
        <w:t>are supported</w:t>
      </w:r>
      <w:r>
        <w:t>, i.e., CG Type</w:t>
      </w:r>
      <w:r>
        <w:rPr>
          <w:rFonts w:hint="eastAsia"/>
        </w:rPr>
        <w:t xml:space="preserve"> </w:t>
      </w:r>
      <w:r>
        <w:t>1 and CG Type</w:t>
      </w:r>
      <w:r>
        <w:rPr>
          <w:rFonts w:hint="eastAsia"/>
        </w:rPr>
        <w:t xml:space="preserve"> </w:t>
      </w:r>
      <w:r>
        <w:lastRenderedPageBreak/>
        <w:t>2. The enhancement of CG can be finalized with the hypothesis of either CG Type</w:t>
      </w:r>
      <w:r>
        <w:rPr>
          <w:rFonts w:hint="eastAsia"/>
        </w:rPr>
        <w:t xml:space="preserve"> </w:t>
      </w:r>
      <w:r>
        <w:t>1 or CG Type</w:t>
      </w:r>
      <w:r>
        <w:rPr>
          <w:rFonts w:hint="eastAsia"/>
        </w:rPr>
        <w:t xml:space="preserve"> </w:t>
      </w:r>
      <w:r>
        <w:t>2.</w:t>
      </w:r>
    </w:p>
    <w:p w14:paraId="710F2F26" w14:textId="77777777" w:rsidR="00610512" w:rsidRDefault="00000000">
      <w:pPr>
        <w:numPr>
          <w:ilvl w:val="0"/>
          <w:numId w:val="7"/>
        </w:numPr>
        <w:rPr>
          <w:lang w:val="en-US" w:eastAsia="zh-CN"/>
        </w:rPr>
      </w:pPr>
      <w:r>
        <w:rPr>
          <w:rFonts w:hint="eastAsia"/>
          <w:lang w:val="en-US" w:eastAsia="zh-CN"/>
        </w:rPr>
        <w:t>For the CG type1: the UL grant is fully configured by RRC message; Usually, multiple UL grants configured by RRC is feasible.</w:t>
      </w:r>
    </w:p>
    <w:p w14:paraId="6E90C468" w14:textId="77777777" w:rsidR="00610512" w:rsidRDefault="00000000">
      <w:pPr>
        <w:numPr>
          <w:ilvl w:val="0"/>
          <w:numId w:val="7"/>
        </w:numPr>
        <w:rPr>
          <w:lang w:val="en-US" w:eastAsia="zh-CN"/>
        </w:rPr>
      </w:pPr>
      <w:r>
        <w:rPr>
          <w:rFonts w:hint="eastAsia"/>
          <w:lang w:val="en-US" w:eastAsia="zh-CN"/>
        </w:rPr>
        <w:t>For the CG type2, the UL grant is scheduled by DCI. Whether DCI can schedule multiple UL grants for multiple CG occasions should be evaluated in RAN1.</w:t>
      </w:r>
    </w:p>
    <w:p w14:paraId="42CBB082" w14:textId="77777777" w:rsidR="00610512" w:rsidRDefault="00000000">
      <w:pPr>
        <w:rPr>
          <w:lang w:val="en-US" w:eastAsia="zh-CN"/>
        </w:rPr>
      </w:pPr>
      <w:r>
        <w:rPr>
          <w:rFonts w:hint="eastAsia"/>
          <w:b/>
          <w:bCs/>
          <w:lang w:val="en-US" w:eastAsia="zh-CN"/>
        </w:rPr>
        <w:t xml:space="preserve">Proposal 1: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for CG Type 1; Whether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w:t>
      </w:r>
      <w:r>
        <w:rPr>
          <w:b/>
          <w:bCs/>
          <w:lang w:val="en-US" w:eastAsia="zh-CN"/>
        </w:rPr>
        <w:t xml:space="preserve">also </w:t>
      </w:r>
      <w:r>
        <w:rPr>
          <w:rFonts w:hint="eastAsia"/>
          <w:b/>
          <w:bCs/>
          <w:lang w:val="en-US" w:eastAsia="zh-CN"/>
        </w:rPr>
        <w:t xml:space="preserve">for CG Type 2 </w:t>
      </w:r>
      <w:r>
        <w:rPr>
          <w:b/>
          <w:bCs/>
          <w:lang w:val="en-US" w:eastAsia="zh-CN"/>
        </w:rPr>
        <w:t>is left to</w:t>
      </w:r>
      <w:r>
        <w:rPr>
          <w:rFonts w:hint="eastAsia"/>
          <w:b/>
          <w:bCs/>
          <w:lang w:val="en-US" w:eastAsia="zh-CN"/>
        </w:rPr>
        <w:t xml:space="preserve"> RAN1.</w:t>
      </w:r>
    </w:p>
    <w:p w14:paraId="1B3F4644" w14:textId="77777777" w:rsidR="00610512" w:rsidRDefault="00000000">
      <w:pPr>
        <w:rPr>
          <w:szCs w:val="22"/>
          <w:lang w:val="en-US" w:eastAsia="zh-CN"/>
        </w:rPr>
      </w:pPr>
      <w:r>
        <w:rPr>
          <w:rFonts w:hint="eastAsia"/>
          <w:szCs w:val="22"/>
          <w:lang w:val="en-US" w:eastAsia="zh-CN"/>
        </w:rPr>
        <w:t xml:space="preserve">For </w:t>
      </w:r>
      <w:r>
        <w:rPr>
          <w:rFonts w:hint="eastAsia"/>
          <w:lang w:val="en-US" w:eastAsia="zh-CN"/>
        </w:rPr>
        <w:t>m</w:t>
      </w:r>
      <w:r>
        <w:t xml:space="preserve">ultiple </w:t>
      </w:r>
      <w:r>
        <w:rPr>
          <w:rFonts w:hint="eastAsia"/>
          <w:lang w:val="en-US" w:eastAsia="zh-CN"/>
        </w:rPr>
        <w:t>CG</w:t>
      </w:r>
      <w:r>
        <w:t xml:space="preserve"> occasions in a </w:t>
      </w:r>
      <w:r>
        <w:rPr>
          <w:rFonts w:hint="eastAsia"/>
          <w:lang w:val="en-US" w:eastAsia="zh-CN"/>
        </w:rPr>
        <w:t xml:space="preserve">CG </w:t>
      </w:r>
      <w:r>
        <w:t>period</w:t>
      </w:r>
      <w:r>
        <w:rPr>
          <w:rFonts w:hint="eastAsia"/>
          <w:lang w:val="en-US" w:eastAsia="zh-CN"/>
        </w:rPr>
        <w:t>, the start of the CG occasion can be the start</w:t>
      </w:r>
      <w:r>
        <w:rPr>
          <w:rFonts w:hint="eastAsia"/>
          <w:szCs w:val="22"/>
          <w:lang w:val="en-US" w:eastAsia="zh-CN"/>
        </w:rPr>
        <w:t xml:space="preserve"> of the CG, which can follow the legacy CG start determination. The subsequent CG occasions can be decided based on a</w:t>
      </w:r>
      <w:r>
        <w:rPr>
          <w:szCs w:val="22"/>
          <w:lang w:val="en-US" w:eastAsia="zh-CN"/>
        </w:rPr>
        <w:t>n</w:t>
      </w:r>
      <w:r>
        <w:rPr>
          <w:rFonts w:hint="eastAsia"/>
          <w:szCs w:val="22"/>
          <w:lang w:val="en-US" w:eastAsia="zh-CN"/>
        </w:rPr>
        <w:t xml:space="preserve"> interval from the preceding CG occasion</w:t>
      </w:r>
      <w:r>
        <w:rPr>
          <w:szCs w:val="22"/>
          <w:lang w:val="en-US" w:eastAsia="zh-CN"/>
        </w:rPr>
        <w:t xml:space="preserve"> </w:t>
      </w:r>
      <w:r>
        <w:rPr>
          <w:rFonts w:hint="eastAsia"/>
          <w:szCs w:val="22"/>
          <w:lang w:val="en-US" w:eastAsia="zh-CN"/>
        </w:rPr>
        <w:t>(</w:t>
      </w:r>
      <w:proofErr w:type="gramStart"/>
      <w:r>
        <w:rPr>
          <w:rFonts w:hint="eastAsia"/>
          <w:szCs w:val="22"/>
          <w:lang w:val="en-US" w:eastAsia="zh-CN"/>
        </w:rPr>
        <w:t>e.g.</w:t>
      </w:r>
      <w:proofErr w:type="gramEnd"/>
      <w:r>
        <w:rPr>
          <w:rFonts w:hint="eastAsia"/>
          <w:szCs w:val="22"/>
          <w:lang w:val="en-US" w:eastAsia="zh-CN"/>
        </w:rPr>
        <w:t xml:space="preserve"> the interval between two adjacent CG occasions in one CG periodicity). For flexibility, the interval of two adjacent CG occasions in one CG periodicity should be configurable. Furthermore, the number of CG occasions in one CG periodicity should also be configured to decide the CG resource number.</w:t>
      </w:r>
    </w:p>
    <w:p w14:paraId="65776CC7" w14:textId="77777777" w:rsidR="00610512" w:rsidRDefault="00000000">
      <w:pPr>
        <w:rPr>
          <w:lang w:val="en-US" w:eastAsia="zh-CN"/>
        </w:rPr>
      </w:pPr>
      <w:r>
        <w:rPr>
          <w:rFonts w:hint="eastAsia"/>
          <w:b/>
          <w:bCs/>
          <w:lang w:val="en-US" w:eastAsia="zh-CN"/>
        </w:rPr>
        <w:t xml:space="preserve">Proposal 2: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interval of two adjacent CG occasions and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3194F279" w14:textId="77777777" w:rsidR="00610512" w:rsidRDefault="00000000">
      <w:pPr>
        <w:spacing w:line="260" w:lineRule="auto"/>
        <w:outlineLvl w:val="1"/>
        <w:rPr>
          <w:rFonts w:cs="Arial"/>
          <w:b/>
          <w:bCs/>
          <w:color w:val="000000"/>
          <w:lang w:val="en-US" w:eastAsia="zh-CN"/>
        </w:rPr>
      </w:pPr>
      <w:r>
        <w:rPr>
          <w:rFonts w:cs="Arial" w:hint="eastAsia"/>
          <w:b/>
          <w:bCs/>
          <w:color w:val="000000"/>
          <w:lang w:val="en-US" w:eastAsia="zh-CN"/>
        </w:rPr>
        <w:t xml:space="preserve">2.1.2 Dynamic indication of unused CG occasion(s) </w:t>
      </w:r>
    </w:p>
    <w:p w14:paraId="3A26E02D" w14:textId="77777777" w:rsidR="00610512" w:rsidRDefault="00000000">
      <w:pPr>
        <w:rPr>
          <w:lang w:val="en-US" w:eastAsia="zh-CN"/>
        </w:rPr>
      </w:pPr>
      <w:r>
        <w:rPr>
          <w:rFonts w:hint="eastAsia"/>
          <w:lang w:val="en-US" w:eastAsia="zh-CN"/>
        </w:rPr>
        <w:t xml:space="preserve">When configuring the CG resource, it is difficult to accurately predict the number CG occasions. If the CG occasions are configured more than necessary, some of the configured CG occasion(s) may be wasted. In this case, the UE can send information about the unused CG occasion(s) to the gNB to release these extra configured resources. Usually, </w:t>
      </w:r>
      <w:r>
        <w:rPr>
          <w:lang w:val="en-US" w:eastAsia="zh-CN"/>
        </w:rPr>
        <w:t xml:space="preserve">UE </w:t>
      </w:r>
      <w:r>
        <w:rPr>
          <w:rFonts w:hint="eastAsia"/>
          <w:lang w:val="en-US" w:eastAsia="zh-CN"/>
        </w:rPr>
        <w:t xml:space="preserve">MAC entity can know whether the data has been transmitted completely and some CG occasions will not been used, but the L1 entity cannot decide this, so that L1 can set the UCI for the unused CG occasions, </w:t>
      </w:r>
      <w:r>
        <w:rPr>
          <w:lang w:val="en-US" w:eastAsia="zh-CN"/>
        </w:rPr>
        <w:t xml:space="preserve">UE </w:t>
      </w:r>
      <w:r>
        <w:rPr>
          <w:rFonts w:hint="eastAsia"/>
          <w:lang w:val="en-US" w:eastAsia="zh-CN"/>
        </w:rPr>
        <w:t xml:space="preserve">MAC entity should send the information about the unused CG occasions to lower </w:t>
      </w:r>
      <w:proofErr w:type="gramStart"/>
      <w:r>
        <w:rPr>
          <w:rFonts w:hint="eastAsia"/>
          <w:lang w:val="en-US" w:eastAsia="zh-CN"/>
        </w:rPr>
        <w:t>layer(</w:t>
      </w:r>
      <w:proofErr w:type="gramEnd"/>
      <w:r>
        <w:rPr>
          <w:rFonts w:hint="eastAsia"/>
          <w:lang w:val="en-US" w:eastAsia="zh-CN"/>
        </w:rPr>
        <w:t>e.g. L1).</w:t>
      </w:r>
    </w:p>
    <w:p w14:paraId="0072FE7C" w14:textId="77777777" w:rsidR="00610512" w:rsidRDefault="00000000">
      <w:pPr>
        <w:rPr>
          <w:b/>
          <w:bCs/>
          <w:lang w:val="en-US" w:eastAsia="zh-CN"/>
        </w:rPr>
      </w:pPr>
      <w:r>
        <w:rPr>
          <w:rFonts w:hint="eastAsia"/>
          <w:b/>
          <w:bCs/>
          <w:lang w:val="en-US" w:eastAsia="zh-CN"/>
        </w:rPr>
        <w:t xml:space="preserve">Proposal 3: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5699903F" w14:textId="77777777" w:rsidR="00610512" w:rsidRDefault="00000000">
      <w:pPr>
        <w:rPr>
          <w:lang w:val="en-US" w:eastAsia="zh-CN"/>
        </w:rPr>
      </w:pPr>
      <w:r>
        <w:rPr>
          <w:rFonts w:hint="eastAsia"/>
          <w:lang w:val="en-US" w:eastAsia="zh-CN"/>
        </w:rPr>
        <w:t>Considering the UCI maybe retransmitted and the transmission delay cannot be avoid</w:t>
      </w:r>
      <w:r>
        <w:rPr>
          <w:lang w:val="en-US" w:eastAsia="zh-CN"/>
        </w:rPr>
        <w:t>ed</w:t>
      </w:r>
      <w:r>
        <w:rPr>
          <w:rFonts w:hint="eastAsia"/>
          <w:lang w:val="en-US" w:eastAsia="zh-CN"/>
        </w:rPr>
        <w:t xml:space="preserve">, the number of unused CG occasion(s) or the time </w:t>
      </w:r>
      <w:proofErr w:type="gramStart"/>
      <w:r>
        <w:rPr>
          <w:rFonts w:hint="eastAsia"/>
          <w:lang w:val="en-US" w:eastAsia="zh-CN"/>
        </w:rPr>
        <w:t>indication(</w:t>
      </w:r>
      <w:proofErr w:type="gramEnd"/>
      <w:r>
        <w:rPr>
          <w:rFonts w:hint="eastAsia"/>
          <w:lang w:val="en-US" w:eastAsia="zh-CN"/>
        </w:rPr>
        <w:t xml:space="preserve">e.g. SFN, slot number) after which the CG occasion(s) will be released should be explicitly indicated to gNB, so that gNB can decide which CG occasion(s) </w:t>
      </w:r>
      <w:r>
        <w:rPr>
          <w:lang w:val="en-US" w:eastAsia="zh-CN"/>
        </w:rPr>
        <w:t>are to</w:t>
      </w:r>
      <w:r>
        <w:rPr>
          <w:rFonts w:hint="eastAsia"/>
          <w:lang w:val="en-US" w:eastAsia="zh-CN"/>
        </w:rPr>
        <w:t xml:space="preserve"> be released. </w:t>
      </w:r>
    </w:p>
    <w:p w14:paraId="5C3F9960" w14:textId="77777777" w:rsidR="00610512" w:rsidRDefault="00000000">
      <w:pPr>
        <w:rPr>
          <w:b/>
          <w:bCs/>
          <w:lang w:val="en-US" w:eastAsia="zh-CN"/>
        </w:rPr>
      </w:pPr>
      <w:r>
        <w:rPr>
          <w:rFonts w:hint="eastAsia"/>
          <w:b/>
          <w:bCs/>
          <w:lang w:val="en-US" w:eastAsia="zh-CN"/>
        </w:rPr>
        <w:t>Proposal 4: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0EEBF10A" w14:textId="77777777" w:rsidR="00610512" w:rsidRDefault="00000000">
      <w:pPr>
        <w:rPr>
          <w:lang w:val="en-US" w:eastAsia="zh-CN"/>
        </w:rPr>
      </w:pPr>
      <w:r>
        <w:rPr>
          <w:rFonts w:hint="eastAsia"/>
          <w:lang w:val="en-US" w:eastAsia="zh-CN"/>
        </w:rPr>
        <w:t xml:space="preserve">Considering that the </w:t>
      </w:r>
      <w:r>
        <w:rPr>
          <w:lang w:val="en-US" w:eastAsia="zh-CN"/>
        </w:rPr>
        <w:t xml:space="preserve">periodicity of </w:t>
      </w:r>
      <w:r>
        <w:rPr>
          <w:rFonts w:hint="eastAsia"/>
          <w:lang w:val="en-US" w:eastAsia="zh-CN"/>
        </w:rPr>
        <w:t xml:space="preserve">XR traffic pattern </w:t>
      </w:r>
      <w:r>
        <w:rPr>
          <w:lang w:val="en-US" w:eastAsia="zh-CN"/>
        </w:rPr>
        <w:t>is</w:t>
      </w:r>
      <w:r>
        <w:rPr>
          <w:rFonts w:hint="eastAsia"/>
          <w:lang w:val="en-US" w:eastAsia="zh-CN"/>
        </w:rPr>
        <w:t xml:space="preserve"> usually </w:t>
      </w:r>
      <w:r>
        <w:rPr>
          <w:lang w:val="en-US" w:eastAsia="zh-CN"/>
        </w:rPr>
        <w:t>is semi-static</w:t>
      </w:r>
      <w:r>
        <w:rPr>
          <w:rFonts w:hint="eastAsia"/>
          <w:lang w:val="en-US" w:eastAsia="zh-CN"/>
        </w:rPr>
        <w:t>, if some CG occasions are not used in one CG period, it is highly possible that same number of CG occasions will not be used in the subsequent CG period</w:t>
      </w:r>
      <w:r>
        <w:rPr>
          <w:lang w:val="en-US" w:eastAsia="zh-CN"/>
        </w:rPr>
        <w:t>s</w:t>
      </w:r>
      <w:r>
        <w:rPr>
          <w:rFonts w:hint="eastAsia"/>
          <w:lang w:val="en-US" w:eastAsia="zh-CN"/>
        </w:rPr>
        <w:t xml:space="preserve">. This information can be predicted by UE based on the historical statistics information. To avoid frequent UCI delivery for unused CG occasions, UE can indicate the number of CG </w:t>
      </w:r>
      <w:r>
        <w:rPr>
          <w:rFonts w:hint="eastAsia"/>
          <w:lang w:val="en-US" w:eastAsia="zh-CN"/>
        </w:rPr>
        <w:lastRenderedPageBreak/>
        <w:t>periods that the information of unused CG occasions will apply.</w:t>
      </w:r>
    </w:p>
    <w:p w14:paraId="0C8AB519" w14:textId="77777777" w:rsidR="00610512" w:rsidRDefault="00000000">
      <w:pPr>
        <w:rPr>
          <w:b/>
          <w:bCs/>
          <w:lang w:val="en-US" w:eastAsia="zh-CN"/>
        </w:rPr>
      </w:pPr>
      <w:r>
        <w:rPr>
          <w:rFonts w:hint="eastAsia"/>
          <w:b/>
          <w:bCs/>
          <w:lang w:val="en-US" w:eastAsia="zh-CN"/>
        </w:rPr>
        <w:t>Proposal 5: UE can indicate the number of CG periods that the information of unused CG occasions will apply.</w:t>
      </w:r>
    </w:p>
    <w:p w14:paraId="405236DB" w14:textId="77777777" w:rsidR="00610512" w:rsidRDefault="00000000">
      <w:pPr>
        <w:spacing w:line="260" w:lineRule="auto"/>
        <w:outlineLvl w:val="1"/>
        <w:rPr>
          <w:rFonts w:cs="Arial"/>
          <w:b/>
          <w:bCs/>
          <w:color w:val="000000"/>
          <w:lang w:val="en-US" w:eastAsia="zh-CN"/>
        </w:rPr>
      </w:pPr>
      <w:r>
        <w:rPr>
          <w:rFonts w:cs="Arial" w:hint="eastAsia"/>
          <w:b/>
          <w:bCs/>
          <w:color w:val="000000"/>
          <w:lang w:val="en-US" w:eastAsia="zh-CN"/>
        </w:rPr>
        <w:t>2.1.3 HARQ Process ID determination for CG occasion(s)</w:t>
      </w:r>
    </w:p>
    <w:p w14:paraId="2D0F40EF" w14:textId="77777777" w:rsidR="00610512" w:rsidRDefault="00000000">
      <w:pPr>
        <w:rPr>
          <w:lang w:val="en-US" w:eastAsia="zh-CN"/>
        </w:rPr>
      </w:pPr>
      <w:r>
        <w:rPr>
          <w:lang w:val="en-US" w:eastAsia="zh-CN"/>
        </w:rPr>
        <w:t xml:space="preserve">In the current specification, HARQ process ID is determined per CG period, </w:t>
      </w:r>
      <w:proofErr w:type="gramStart"/>
      <w:r>
        <w:rPr>
          <w:lang w:val="en-US" w:eastAsia="zh-CN"/>
        </w:rPr>
        <w:t>e.g.</w:t>
      </w:r>
      <w:proofErr w:type="gramEnd"/>
      <w:r>
        <w:rPr>
          <w:lang w:val="en-US" w:eastAsia="zh-CN"/>
        </w:rPr>
        <w:t xml:space="preserve"> there is only one HARQ process ID for the CG resource in one CG period, this is not efficient for the case that multiple CG occasions are configured in one CG period. For example, if transmission in one CG occasion fails, all the PDUs transmitted in the period should be re-transmitted, even if some of them has already transmitted successfully. To avoid this, different HARQ process ID should be used for different CG occasion. So that HARQ process ID determination is backwards compatible with the legacy HARQ process ID determination, and different HARQ process ID should be used for different CG occasion</w:t>
      </w:r>
      <w:r>
        <w:rPr>
          <w:rFonts w:hint="eastAsia"/>
          <w:lang w:val="en-US" w:eastAsia="zh-CN"/>
        </w:rPr>
        <w:t>, t</w:t>
      </w:r>
      <w:r>
        <w:rPr>
          <w:lang w:val="en-US" w:eastAsia="zh-CN"/>
        </w:rPr>
        <w:t>he HARQ process ID for M</w:t>
      </w:r>
      <w:r>
        <w:rPr>
          <w:vertAlign w:val="superscript"/>
          <w:lang w:val="en-US" w:eastAsia="zh-CN"/>
        </w:rPr>
        <w:t>th</w:t>
      </w:r>
      <w:r>
        <w:rPr>
          <w:lang w:val="en-US" w:eastAsia="zh-CN"/>
        </w:rPr>
        <w:t xml:space="preserve"> CG occasion in the N</w:t>
      </w:r>
      <w:r>
        <w:rPr>
          <w:vertAlign w:val="superscript"/>
          <w:lang w:val="en-US" w:eastAsia="zh-CN"/>
        </w:rPr>
        <w:t>th</w:t>
      </w:r>
      <w:r>
        <w:rPr>
          <w:lang w:val="en-US" w:eastAsia="zh-CN"/>
        </w:rPr>
        <w:t xml:space="preserve"> CG periodicity can be determined by the following:</w:t>
      </w:r>
    </w:p>
    <w:p w14:paraId="3D3ACE57" w14:textId="77777777" w:rsidR="00610512" w:rsidRDefault="00000000">
      <w:pPr>
        <w:rPr>
          <w:lang w:val="en-US" w:eastAsia="zh-CN"/>
        </w:rPr>
      </w:pPr>
      <w:r>
        <w:rPr>
          <w:lang w:eastAsia="ko-KR"/>
        </w:rPr>
        <w:tab/>
        <w:t>HARQ Process ID = [</w:t>
      </w:r>
      <w:r>
        <w:rPr>
          <w:i/>
          <w:iCs/>
          <w:lang w:val="en-US" w:eastAsia="ko-KR"/>
        </w:rPr>
        <w:t xml:space="preserve">nrofCG-Occasions </w:t>
      </w:r>
      <w:r>
        <w:rPr>
          <w:lang w:val="en-US" w:eastAsia="ko-KR"/>
        </w:rPr>
        <w:t>* (N-1) + M-1</w:t>
      </w:r>
      <w:r>
        <w:rPr>
          <w:lang w:eastAsia="ko-KR"/>
        </w:rPr>
        <w:t xml:space="preserve">] modulo </w:t>
      </w:r>
      <w:r>
        <w:rPr>
          <w:i/>
          <w:lang w:eastAsia="ko-KR"/>
        </w:rPr>
        <w:t>nrofHARQ-Processes</w:t>
      </w:r>
      <w:r>
        <w:rPr>
          <w:lang w:eastAsia="ko-KR"/>
        </w:rPr>
        <w:t xml:space="preserve"> + </w:t>
      </w:r>
      <w:r>
        <w:rPr>
          <w:i/>
          <w:lang w:eastAsia="ko-KR"/>
        </w:rPr>
        <w:t>harq-ProcID-Offset</w:t>
      </w:r>
      <w:r>
        <w:rPr>
          <w:lang w:val="en-US" w:eastAsia="zh-CN"/>
        </w:rPr>
        <w:t xml:space="preserve"> </w:t>
      </w:r>
    </w:p>
    <w:p w14:paraId="140ABE51" w14:textId="77777777" w:rsidR="00610512" w:rsidRDefault="00000000">
      <w:pPr>
        <w:rPr>
          <w:lang w:val="en-US" w:eastAsia="zh-CN"/>
        </w:rPr>
      </w:pPr>
      <w:r>
        <w:rPr>
          <w:lang w:val="en-US" w:eastAsia="zh-CN"/>
        </w:rPr>
        <w:t>Wherein:</w:t>
      </w:r>
    </w:p>
    <w:p w14:paraId="7B33F3AD" w14:textId="77777777" w:rsidR="00610512" w:rsidRDefault="00000000">
      <w:pPr>
        <w:numPr>
          <w:ilvl w:val="0"/>
          <w:numId w:val="7"/>
        </w:numPr>
        <w:rPr>
          <w:lang w:val="en-US" w:eastAsia="ko-KR"/>
        </w:rPr>
      </w:pPr>
      <w:r>
        <w:rPr>
          <w:i/>
          <w:iCs/>
          <w:lang w:val="en-US" w:eastAsia="ko-KR"/>
        </w:rPr>
        <w:t xml:space="preserve">nrofCG-Occasions </w:t>
      </w:r>
      <w:r>
        <w:rPr>
          <w:lang w:val="en-US" w:eastAsia="ko-KR"/>
        </w:rPr>
        <w:t xml:space="preserve">is the number of CG occasions in one CG periodicity, configured by </w:t>
      </w:r>
      <w:proofErr w:type="gramStart"/>
      <w:r>
        <w:rPr>
          <w:lang w:val="en-US" w:eastAsia="ko-KR"/>
        </w:rPr>
        <w:t>gNB(</w:t>
      </w:r>
      <w:proofErr w:type="gramEnd"/>
      <w:r>
        <w:rPr>
          <w:lang w:val="en-US" w:eastAsia="ko-KR"/>
        </w:rPr>
        <w:t>e.g. sent from gNB to UE).</w:t>
      </w:r>
    </w:p>
    <w:p w14:paraId="13183447" w14:textId="77777777" w:rsidR="00610512" w:rsidRDefault="00000000">
      <w:pPr>
        <w:numPr>
          <w:ilvl w:val="0"/>
          <w:numId w:val="7"/>
        </w:numPr>
        <w:rPr>
          <w:lang w:val="en-US" w:eastAsia="zh-CN"/>
        </w:rPr>
      </w:pPr>
      <w:r>
        <w:rPr>
          <w:lang w:val="en-US" w:eastAsia="zh-CN"/>
        </w:rPr>
        <w:t>N, M are positive integer.</w:t>
      </w:r>
    </w:p>
    <w:p w14:paraId="229A4829" w14:textId="77777777" w:rsidR="00610512" w:rsidRDefault="00000000">
      <w:pPr>
        <w:numPr>
          <w:ilvl w:val="0"/>
          <w:numId w:val="7"/>
        </w:numPr>
        <w:rPr>
          <w:lang w:val="en-US" w:eastAsia="ko-KR"/>
        </w:rPr>
      </w:pPr>
      <w:r>
        <w:rPr>
          <w:i/>
          <w:lang w:eastAsia="ko-KR"/>
        </w:rPr>
        <w:t>nrofHARQ-Processes</w:t>
      </w:r>
      <w:r>
        <w:rPr>
          <w:i/>
          <w:lang w:val="en-US" w:eastAsia="ko-KR"/>
        </w:rPr>
        <w:t xml:space="preserve"> is the </w:t>
      </w:r>
      <w:r>
        <w:rPr>
          <w:lang w:eastAsia="ko-KR"/>
        </w:rPr>
        <w:t>number of configured HARQ processes</w:t>
      </w:r>
      <w:r>
        <w:rPr>
          <w:lang w:val="en-US" w:eastAsia="ko-KR"/>
        </w:rPr>
        <w:t xml:space="preserve"> for the CG and/or CG occasions, configured by </w:t>
      </w:r>
      <w:proofErr w:type="gramStart"/>
      <w:r>
        <w:rPr>
          <w:lang w:val="en-US" w:eastAsia="ko-KR"/>
        </w:rPr>
        <w:t>gNB(</w:t>
      </w:r>
      <w:proofErr w:type="gramEnd"/>
      <w:r>
        <w:rPr>
          <w:lang w:val="en-US" w:eastAsia="ko-KR"/>
        </w:rPr>
        <w:t>e.g. sent from gNB to UE).</w:t>
      </w:r>
    </w:p>
    <w:p w14:paraId="13CF017F" w14:textId="77777777" w:rsidR="00610512" w:rsidRDefault="00000000">
      <w:pPr>
        <w:numPr>
          <w:ilvl w:val="0"/>
          <w:numId w:val="7"/>
        </w:numPr>
        <w:rPr>
          <w:lang w:val="en-US" w:eastAsia="zh-CN"/>
        </w:rPr>
      </w:pPr>
      <w:r>
        <w:rPr>
          <w:i/>
          <w:lang w:eastAsia="ko-KR"/>
        </w:rPr>
        <w:t>harq-ProcID-Offset</w:t>
      </w:r>
      <w:r>
        <w:rPr>
          <w:i/>
          <w:lang w:val="en-US" w:eastAsia="ko-KR"/>
        </w:rPr>
        <w:t xml:space="preserve"> is the </w:t>
      </w:r>
      <w:r>
        <w:rPr>
          <w:lang w:val="en-US" w:eastAsia="ko-KR"/>
        </w:rPr>
        <w:t>o</w:t>
      </w:r>
      <w:r>
        <w:rPr>
          <w:lang w:eastAsia="ko-KR"/>
        </w:rPr>
        <w:t>ffset of HARQ process</w:t>
      </w:r>
      <w:r>
        <w:rPr>
          <w:lang w:val="en-US" w:eastAsia="ko-KR"/>
        </w:rPr>
        <w:t xml:space="preserve">, configured by </w:t>
      </w:r>
      <w:proofErr w:type="gramStart"/>
      <w:r>
        <w:rPr>
          <w:lang w:val="en-US" w:eastAsia="ko-KR"/>
        </w:rPr>
        <w:t>gNB(</w:t>
      </w:r>
      <w:proofErr w:type="gramEnd"/>
      <w:r>
        <w:rPr>
          <w:lang w:val="en-US" w:eastAsia="ko-KR"/>
        </w:rPr>
        <w:t>e.g. sent from gNB to UE), which is used to determine the minimal HARQ process ID used for the CG and/or CG occasions.</w:t>
      </w:r>
    </w:p>
    <w:p w14:paraId="07792C3F" w14:textId="77777777" w:rsidR="00610512" w:rsidRDefault="00000000">
      <w:pPr>
        <w:rPr>
          <w:lang w:val="en-US" w:eastAsia="zh-CN"/>
        </w:rPr>
      </w:pPr>
      <w:r>
        <w:rPr>
          <w:b/>
          <w:bCs/>
          <w:lang w:val="en-US" w:eastAsia="ko-KR"/>
        </w:rPr>
        <w:t xml:space="preserve">Proposal 6: When multiple CG occasions are configured in one CG period, </w:t>
      </w:r>
      <w:r>
        <w:rPr>
          <w:b/>
          <w:bCs/>
          <w:lang w:eastAsia="ko-KR"/>
        </w:rPr>
        <w:t>HARQ Process ID</w:t>
      </w:r>
      <w:r>
        <w:rPr>
          <w:b/>
          <w:bCs/>
          <w:lang w:val="en-US" w:eastAsia="ko-KR"/>
        </w:rPr>
        <w:t xml:space="preserve"> determination should be updated so that different HARQ process IDs can be used for different CG occasions and different CG periodicity.</w:t>
      </w:r>
    </w:p>
    <w:p w14:paraId="4EA32ED3" w14:textId="77777777" w:rsidR="00610512"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2.2 Retransmission-less CG</w:t>
      </w:r>
    </w:p>
    <w:p w14:paraId="6548287F" w14:textId="77777777" w:rsidR="00610512" w:rsidRDefault="00000000">
      <w:pPr>
        <w:rPr>
          <w:lang w:val="en-US" w:eastAsia="zh-CN"/>
        </w:rPr>
      </w:pPr>
      <w:r>
        <w:rPr>
          <w:lang w:val="en-US" w:eastAsia="zh-CN"/>
        </w:rPr>
        <w:t xml:space="preserve">The retransmission-less CG is mainly proposed to deal with the XR pose service with small </w:t>
      </w:r>
      <w:proofErr w:type="gramStart"/>
      <w:r>
        <w:rPr>
          <w:lang w:val="en-US" w:eastAsia="zh-CN"/>
        </w:rPr>
        <w:t>periodicity(</w:t>
      </w:r>
      <w:proofErr w:type="gramEnd"/>
      <w:r>
        <w:rPr>
          <w:lang w:val="en-US" w:eastAsia="zh-CN"/>
        </w:rPr>
        <w:t xml:space="preserve">e.g. 4ms). But in the SA4 reply LS </w:t>
      </w:r>
      <w:r>
        <w:rPr>
          <w:rFonts w:cs="Arial" w:hint="eastAsia"/>
          <w:color w:val="000000"/>
          <w:lang w:val="en-US"/>
        </w:rPr>
        <w:t xml:space="preserve">on Pose Information for </w:t>
      </w:r>
      <w:proofErr w:type="gramStart"/>
      <w:r>
        <w:rPr>
          <w:rFonts w:cs="Arial" w:hint="eastAsia"/>
          <w:color w:val="000000"/>
          <w:lang w:val="en-US"/>
        </w:rPr>
        <w:t>XR</w:t>
      </w:r>
      <w:r>
        <w:rPr>
          <w:lang w:val="en-US" w:eastAsia="zh-CN"/>
        </w:rPr>
        <w:t>[</w:t>
      </w:r>
      <w:proofErr w:type="gramEnd"/>
      <w:r>
        <w:rPr>
          <w:lang w:val="en-US" w:eastAsia="zh-CN"/>
        </w:rPr>
        <w:t xml:space="preserve">4], it is captured that “as a first estimate it can be assumed that sending a viewer pose aligned with the frame rate of the rendered video may be sufficient, for example at 60fps”, thus, the necessity to send XR pose service with small periodicity(e.g. 4ms) should be re-evaluated. </w:t>
      </w:r>
    </w:p>
    <w:p w14:paraId="1C4673CB" w14:textId="77777777" w:rsidR="00610512" w:rsidRDefault="00000000">
      <w:pPr>
        <w:rPr>
          <w:b/>
          <w:bCs/>
          <w:lang w:val="en-US" w:eastAsia="zh-CN"/>
        </w:rPr>
      </w:pPr>
      <w:r>
        <w:rPr>
          <w:b/>
          <w:bCs/>
          <w:lang w:val="en-US" w:eastAsia="zh-CN"/>
        </w:rPr>
        <w:t>Observation 1: SA4 assumes that sending a viewer pose aligned with the frame rate of the rendered video may be sufficient, for example at 60fps.</w:t>
      </w:r>
    </w:p>
    <w:p w14:paraId="55D4FC8D" w14:textId="77777777" w:rsidR="00610512" w:rsidRDefault="00000000">
      <w:pPr>
        <w:rPr>
          <w:lang w:val="en-US" w:eastAsia="zh-CN"/>
        </w:rPr>
      </w:pPr>
      <w:r>
        <w:rPr>
          <w:rFonts w:hint="eastAsia"/>
          <w:lang w:val="en-US" w:eastAsia="zh-CN"/>
        </w:rPr>
        <w:t>In RAN2#121bis meeting, it has been agreed that:</w:t>
      </w:r>
    </w:p>
    <w:tbl>
      <w:tblPr>
        <w:tblStyle w:val="TableGrid"/>
        <w:tblW w:w="0" w:type="auto"/>
        <w:tblLook w:val="04A0" w:firstRow="1" w:lastRow="0" w:firstColumn="1" w:lastColumn="0" w:noHBand="0" w:noVBand="1"/>
      </w:tblPr>
      <w:tblGrid>
        <w:gridCol w:w="9771"/>
      </w:tblGrid>
      <w:tr w:rsidR="00610512" w14:paraId="4E9FE631" w14:textId="77777777">
        <w:tc>
          <w:tcPr>
            <w:tcW w:w="9997" w:type="dxa"/>
          </w:tcPr>
          <w:p w14:paraId="66E983D6" w14:textId="77777777" w:rsidR="00610512" w:rsidRDefault="00000000" w:rsidP="008E05C6">
            <w:pPr>
              <w:numPr>
                <w:ilvl w:val="0"/>
                <w:numId w:val="6"/>
              </w:numPr>
              <w:tabs>
                <w:tab w:val="clear" w:pos="9990"/>
                <w:tab w:val="left" w:pos="1619"/>
              </w:tabs>
              <w:spacing w:before="60"/>
              <w:ind w:leftChars="100" w:left="570"/>
              <w:rPr>
                <w:rFonts w:eastAsia="Times New Roman"/>
                <w:bCs/>
                <w:lang w:eastAsia="ja-JP"/>
              </w:rPr>
            </w:pPr>
            <w:r>
              <w:rPr>
                <w:rFonts w:eastAsia="Times New Roman"/>
                <w:bCs/>
                <w:lang w:eastAsia="ja-JP"/>
              </w:rPr>
              <w:lastRenderedPageBreak/>
              <w:t>If adopted, RAN2 aims to only consider option1 or option 2:</w:t>
            </w:r>
          </w:p>
          <w:p w14:paraId="2773A80C" w14:textId="77777777" w:rsidR="00610512" w:rsidRDefault="00000000">
            <w:pPr>
              <w:tabs>
                <w:tab w:val="left" w:pos="1619"/>
              </w:tabs>
              <w:spacing w:before="60"/>
              <w:ind w:leftChars="300" w:left="630"/>
              <w:rPr>
                <w:rFonts w:eastAsia="Times New Roman"/>
                <w:bCs/>
                <w:lang w:eastAsia="ja-JP"/>
              </w:rPr>
            </w:pPr>
            <w:r>
              <w:rPr>
                <w:rFonts w:eastAsia="Times New Roman"/>
                <w:bCs/>
                <w:lang w:eastAsia="ja-JP"/>
              </w:rPr>
              <w:t xml:space="preserve">Option1: Adapt the NTN solution by disabling the HARQ RTT timer per CG configuration for CG. </w:t>
            </w:r>
          </w:p>
          <w:p w14:paraId="1B029F24" w14:textId="77777777" w:rsidR="00610512" w:rsidRDefault="00000000" w:rsidP="00081234">
            <w:pPr>
              <w:tabs>
                <w:tab w:val="left" w:pos="1619"/>
              </w:tabs>
              <w:spacing w:before="60"/>
              <w:ind w:leftChars="300" w:left="630"/>
              <w:rPr>
                <w:lang w:val="en-US" w:eastAsia="zh-CN"/>
              </w:rPr>
            </w:pPr>
            <w:r>
              <w:rPr>
                <w:rFonts w:eastAsia="Times New Roman"/>
                <w:bCs/>
                <w:lang w:eastAsia="ja-JP"/>
              </w:rPr>
              <w:t xml:space="preserve">Option2: Adapt the NTN solution by disabling the HARQ RTT timer per HARQ processes for both CG and DG. </w:t>
            </w:r>
          </w:p>
        </w:tc>
      </w:tr>
    </w:tbl>
    <w:p w14:paraId="674ED5E4" w14:textId="77777777" w:rsidR="00610512" w:rsidRDefault="00000000">
      <w:pPr>
        <w:rPr>
          <w:lang w:val="en-US" w:eastAsia="zh-CN"/>
        </w:rPr>
      </w:pPr>
      <w:r>
        <w:rPr>
          <w:rFonts w:hint="eastAsia"/>
          <w:lang w:val="en-US" w:eastAsia="zh-CN"/>
        </w:rPr>
        <w:t xml:space="preserve">Considering that: </w:t>
      </w:r>
    </w:p>
    <w:p w14:paraId="567081D7" w14:textId="77777777" w:rsidR="00610512" w:rsidRDefault="00000000" w:rsidP="00081234">
      <w:pPr>
        <w:numPr>
          <w:ilvl w:val="0"/>
          <w:numId w:val="8"/>
        </w:numPr>
        <w:rPr>
          <w:lang w:val="en-US" w:eastAsia="zh-CN"/>
        </w:rPr>
      </w:pPr>
      <w:r>
        <w:rPr>
          <w:rFonts w:hint="eastAsia"/>
          <w:lang w:val="en-US" w:eastAsia="zh-CN"/>
        </w:rPr>
        <w:t xml:space="preserve">Option 1 need to introduce new HARQ RTT Timer disabling indication in RRC specification, while Option 2 can reuse the existing </w:t>
      </w:r>
      <w:r w:rsidRPr="00081234">
        <w:rPr>
          <w:i/>
          <w:iCs/>
          <w:lang w:val="en-US" w:eastAsia="zh-CN"/>
        </w:rPr>
        <w:t>uplinkHARQ-mode</w:t>
      </w:r>
      <w:r>
        <w:rPr>
          <w:rFonts w:hint="eastAsia"/>
          <w:lang w:val="en-US" w:eastAsia="zh-CN"/>
        </w:rPr>
        <w:t xml:space="preserve"> </w:t>
      </w:r>
      <w:proofErr w:type="gramStart"/>
      <w:r>
        <w:rPr>
          <w:rFonts w:hint="eastAsia"/>
          <w:lang w:val="en-US" w:eastAsia="zh-CN"/>
        </w:rPr>
        <w:t>configuration(</w:t>
      </w:r>
      <w:proofErr w:type="gramEnd"/>
      <w:r>
        <w:rPr>
          <w:rFonts w:hint="eastAsia"/>
          <w:lang w:val="en-US" w:eastAsia="zh-CN"/>
        </w:rPr>
        <w:t>e.g. set the related HARQ process to HARQ-modeB).</w:t>
      </w:r>
    </w:p>
    <w:p w14:paraId="3531F22B" w14:textId="240BE523" w:rsidR="00610512" w:rsidRDefault="00000000" w:rsidP="00081234">
      <w:pPr>
        <w:numPr>
          <w:ilvl w:val="0"/>
          <w:numId w:val="8"/>
        </w:numPr>
        <w:rPr>
          <w:lang w:val="en-US" w:eastAsia="zh-CN"/>
        </w:rPr>
      </w:pPr>
      <w:r>
        <w:rPr>
          <w:rFonts w:hint="eastAsia"/>
          <w:lang w:val="en-US" w:eastAsia="zh-CN"/>
        </w:rPr>
        <w:t>Option 1 can only be used for CG, but Option 2 can be used for both CG and DG. Although periodic sm</w:t>
      </w:r>
      <w:r w:rsidR="008E05C6">
        <w:rPr>
          <w:lang w:val="en-US" w:eastAsia="zh-CN"/>
        </w:rPr>
        <w:t>a</w:t>
      </w:r>
      <w:r>
        <w:rPr>
          <w:rFonts w:hint="eastAsia"/>
          <w:lang w:val="en-US" w:eastAsia="zh-CN"/>
        </w:rPr>
        <w:t xml:space="preserve">ll data </w:t>
      </w:r>
      <w:proofErr w:type="gramStart"/>
      <w:r>
        <w:rPr>
          <w:rFonts w:hint="eastAsia"/>
          <w:lang w:val="en-US" w:eastAsia="zh-CN"/>
        </w:rPr>
        <w:t>bursts(</w:t>
      </w:r>
      <w:proofErr w:type="gramEnd"/>
      <w:r>
        <w:rPr>
          <w:rFonts w:hint="eastAsia"/>
          <w:lang w:val="en-US" w:eastAsia="zh-CN"/>
        </w:rPr>
        <w:t xml:space="preserve">e.g. XR pose) are usually transmitted in CG, other aperiodic small data burst may be transmitted in DG. If HARQ RTT Timer can be disabled for DG with some radical </w:t>
      </w:r>
      <w:proofErr w:type="gramStart"/>
      <w:r>
        <w:rPr>
          <w:rFonts w:hint="eastAsia"/>
          <w:lang w:val="en-US" w:eastAsia="zh-CN"/>
        </w:rPr>
        <w:t>scheduling(</w:t>
      </w:r>
      <w:proofErr w:type="gramEnd"/>
      <w:r>
        <w:rPr>
          <w:rFonts w:hint="eastAsia"/>
          <w:lang w:val="en-US" w:eastAsia="zh-CN"/>
        </w:rPr>
        <w:t xml:space="preserve">e.g. with over resource), the UE can be more easily to enter </w:t>
      </w:r>
      <w:r>
        <w:rPr>
          <w:lang w:val="en-US" w:eastAsia="zh-CN"/>
        </w:rPr>
        <w:t>C-DRX “OFF” state</w:t>
      </w:r>
      <w:r>
        <w:rPr>
          <w:rFonts w:hint="eastAsia"/>
          <w:lang w:val="en-US" w:eastAsia="zh-CN"/>
        </w:rPr>
        <w:t xml:space="preserve"> for power saving.</w:t>
      </w:r>
    </w:p>
    <w:p w14:paraId="58242606" w14:textId="77777777" w:rsidR="00610512" w:rsidRDefault="00000000" w:rsidP="00081234">
      <w:pPr>
        <w:numPr>
          <w:ilvl w:val="255"/>
          <w:numId w:val="0"/>
        </w:numPr>
        <w:rPr>
          <w:lang w:val="en-US" w:eastAsia="zh-CN"/>
        </w:rPr>
      </w:pPr>
      <w:r w:rsidRPr="00081234">
        <w:rPr>
          <w:b/>
          <w:bCs/>
          <w:lang w:val="en-US" w:eastAsia="zh-CN"/>
        </w:rPr>
        <w:t>Observation 2: Option 2 impacts specification less and is more flexible than option 1.</w:t>
      </w:r>
    </w:p>
    <w:p w14:paraId="7DD39C2D" w14:textId="77777777" w:rsidR="00610512" w:rsidRDefault="00000000">
      <w:pPr>
        <w:rPr>
          <w:lang w:val="en-US" w:eastAsia="zh-CN"/>
        </w:rPr>
      </w:pPr>
      <w:r>
        <w:rPr>
          <w:lang w:val="en-US" w:eastAsia="zh-CN"/>
        </w:rPr>
        <w:t>If RAN2 agrees to support retransmission</w:t>
      </w:r>
      <w:r>
        <w:rPr>
          <w:rFonts w:hint="eastAsia"/>
          <w:lang w:val="en-US" w:eastAsia="zh-CN"/>
        </w:rPr>
        <w:t>-</w:t>
      </w:r>
      <w:r>
        <w:rPr>
          <w:lang w:val="en-US" w:eastAsia="zh-CN"/>
        </w:rPr>
        <w:t xml:space="preserve">less CG for XR pose information with small </w:t>
      </w:r>
      <w:proofErr w:type="gramStart"/>
      <w:r>
        <w:rPr>
          <w:lang w:val="en-US" w:eastAsia="zh-CN"/>
        </w:rPr>
        <w:t>periodicity(</w:t>
      </w:r>
      <w:proofErr w:type="gramEnd"/>
      <w:r>
        <w:rPr>
          <w:lang w:val="en-US" w:eastAsia="zh-CN"/>
        </w:rPr>
        <w:t>e.g. 4ms) , to minimize the specification work</w:t>
      </w:r>
      <w:r>
        <w:rPr>
          <w:rFonts w:hint="eastAsia"/>
          <w:lang w:val="en-US" w:eastAsia="zh-CN"/>
        </w:rPr>
        <w:t xml:space="preserve"> and for more flexible implementation</w:t>
      </w:r>
      <w:r>
        <w:rPr>
          <w:lang w:val="en-US" w:eastAsia="zh-CN"/>
        </w:rPr>
        <w:t xml:space="preserve">, the HARQ modeB currently used for NTN should be reused for TN to avoid starting the </w:t>
      </w:r>
      <w:r>
        <w:rPr>
          <w:i/>
          <w:iCs/>
          <w:lang w:val="en-US" w:eastAsia="zh-CN"/>
        </w:rPr>
        <w:t>drx-HARQ-RTT-TimerUL</w:t>
      </w:r>
      <w:r>
        <w:rPr>
          <w:lang w:val="en-US" w:eastAsia="zh-CN"/>
        </w:rPr>
        <w:t xml:space="preserve"> and </w:t>
      </w:r>
      <w:r>
        <w:rPr>
          <w:i/>
        </w:rPr>
        <w:t>drx-RetransmissionTimer</w:t>
      </w:r>
      <w:r>
        <w:rPr>
          <w:i/>
          <w:lang w:eastAsia="ko-KR"/>
        </w:rPr>
        <w:t>UL</w:t>
      </w:r>
      <w:r>
        <w:rPr>
          <w:i/>
          <w:lang w:val="en-US" w:eastAsia="ko-KR"/>
        </w:rPr>
        <w:t xml:space="preserve"> </w:t>
      </w:r>
      <w:r>
        <w:rPr>
          <w:lang w:val="en-US" w:eastAsia="zh-CN"/>
        </w:rPr>
        <w:t>Timer, so that UE can enter C-DRX “OFF” state.</w:t>
      </w:r>
    </w:p>
    <w:p w14:paraId="3A1B6F0C" w14:textId="77777777" w:rsidR="00610512" w:rsidRDefault="00000000">
      <w:pPr>
        <w:rPr>
          <w:b/>
          <w:bCs/>
          <w:lang w:val="en-US" w:eastAsia="zh-CN"/>
        </w:rPr>
      </w:pPr>
      <w:r>
        <w:rPr>
          <w:b/>
          <w:bCs/>
          <w:lang w:val="en-US" w:eastAsia="zh-CN"/>
        </w:rPr>
        <w:t>Proposal 7: The HARQ modeB currently used for NTN can be reused for TN if RAN2 confirms that enhancements for XR pose service with small periodicity are necessary.</w:t>
      </w:r>
    </w:p>
    <w:p w14:paraId="497FED36" w14:textId="77777777" w:rsidR="0061051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BBBFFE4" w14:textId="77777777" w:rsidR="00610512" w:rsidRDefault="00000000">
      <w:pPr>
        <w:rPr>
          <w:lang w:val="en-US" w:eastAsia="zh-CN"/>
        </w:rPr>
      </w:pPr>
      <w:bookmarkStart w:id="6" w:name="_Toc18413612"/>
      <w:bookmarkStart w:id="7" w:name="_Toc18403976"/>
      <w:bookmarkStart w:id="8" w:name="_Toc18404543"/>
      <w:r>
        <w:rPr>
          <w:rFonts w:hint="eastAsia"/>
          <w:b/>
          <w:bCs/>
          <w:lang w:val="en-US" w:eastAsia="zh-CN"/>
        </w:rPr>
        <w:t xml:space="preserve">Proposal 1: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for CG Type 1; Whether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w:t>
      </w:r>
      <w:r>
        <w:rPr>
          <w:b/>
          <w:bCs/>
          <w:lang w:val="en-US" w:eastAsia="zh-CN"/>
        </w:rPr>
        <w:t xml:space="preserve">also </w:t>
      </w:r>
      <w:r>
        <w:rPr>
          <w:rFonts w:hint="eastAsia"/>
          <w:b/>
          <w:bCs/>
          <w:lang w:val="en-US" w:eastAsia="zh-CN"/>
        </w:rPr>
        <w:t xml:space="preserve">for CG Type 2 </w:t>
      </w:r>
      <w:r>
        <w:rPr>
          <w:b/>
          <w:bCs/>
          <w:lang w:val="en-US" w:eastAsia="zh-CN"/>
        </w:rPr>
        <w:t>is left to</w:t>
      </w:r>
      <w:r>
        <w:rPr>
          <w:rFonts w:hint="eastAsia"/>
          <w:b/>
          <w:bCs/>
          <w:lang w:val="en-US" w:eastAsia="zh-CN"/>
        </w:rPr>
        <w:t xml:space="preserve"> RAN1.</w:t>
      </w:r>
    </w:p>
    <w:p w14:paraId="0654AE6A" w14:textId="77777777" w:rsidR="00610512" w:rsidRDefault="00000000">
      <w:pPr>
        <w:rPr>
          <w:lang w:val="en-US" w:eastAsia="zh-CN"/>
        </w:rPr>
      </w:pPr>
      <w:r>
        <w:rPr>
          <w:rFonts w:hint="eastAsia"/>
          <w:b/>
          <w:bCs/>
          <w:lang w:val="en-US" w:eastAsia="zh-CN"/>
        </w:rPr>
        <w:t xml:space="preserve">Proposal 2: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interval of two adjacent CG occasions and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79B3D127" w14:textId="77777777" w:rsidR="00610512" w:rsidRDefault="00000000">
      <w:pPr>
        <w:rPr>
          <w:b/>
          <w:bCs/>
          <w:lang w:val="en-US" w:eastAsia="zh-CN"/>
        </w:rPr>
      </w:pPr>
      <w:r>
        <w:rPr>
          <w:rFonts w:hint="eastAsia"/>
          <w:b/>
          <w:bCs/>
          <w:lang w:val="en-US" w:eastAsia="zh-CN"/>
        </w:rPr>
        <w:t xml:space="preserve">Proposal 3: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026BAB4D" w14:textId="77777777" w:rsidR="00610512" w:rsidRDefault="00000000">
      <w:pPr>
        <w:rPr>
          <w:b/>
          <w:bCs/>
          <w:lang w:val="en-US" w:eastAsia="zh-CN"/>
        </w:rPr>
      </w:pPr>
      <w:r>
        <w:rPr>
          <w:rFonts w:hint="eastAsia"/>
          <w:b/>
          <w:bCs/>
          <w:lang w:val="en-US" w:eastAsia="zh-CN"/>
        </w:rPr>
        <w:t>Proposal 4: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77974C43" w14:textId="77777777" w:rsidR="00610512" w:rsidRDefault="00000000">
      <w:pPr>
        <w:rPr>
          <w:b/>
          <w:bCs/>
          <w:lang w:val="en-US" w:eastAsia="zh-CN"/>
        </w:rPr>
      </w:pPr>
      <w:r>
        <w:rPr>
          <w:rFonts w:hint="eastAsia"/>
          <w:b/>
          <w:bCs/>
          <w:lang w:val="en-US" w:eastAsia="zh-CN"/>
        </w:rPr>
        <w:t>Proposal 5: UE can indicate the number of CG periods that the information of unused CG occasions will apply.</w:t>
      </w:r>
    </w:p>
    <w:p w14:paraId="02559564" w14:textId="77777777" w:rsidR="00610512" w:rsidRDefault="00000000">
      <w:pPr>
        <w:rPr>
          <w:b/>
          <w:bCs/>
          <w:lang w:val="en-US" w:eastAsia="ko-KR"/>
        </w:rPr>
      </w:pPr>
      <w:r>
        <w:rPr>
          <w:b/>
          <w:bCs/>
          <w:lang w:val="en-US" w:eastAsia="ko-KR"/>
        </w:rPr>
        <w:t xml:space="preserve">Proposal 6: When multiple CG occasions are configured in one CG period, </w:t>
      </w:r>
      <w:r>
        <w:rPr>
          <w:b/>
          <w:bCs/>
          <w:lang w:eastAsia="ko-KR"/>
        </w:rPr>
        <w:t>HARQ Process ID</w:t>
      </w:r>
      <w:r>
        <w:rPr>
          <w:b/>
          <w:bCs/>
          <w:lang w:val="en-US" w:eastAsia="ko-KR"/>
        </w:rPr>
        <w:t xml:space="preserve"> determination should be updated so that different HARQ process IDs can be used for different CG </w:t>
      </w:r>
      <w:r>
        <w:rPr>
          <w:b/>
          <w:bCs/>
          <w:lang w:val="en-US" w:eastAsia="ko-KR"/>
        </w:rPr>
        <w:lastRenderedPageBreak/>
        <w:t>occasions and different CG periodicity.</w:t>
      </w:r>
    </w:p>
    <w:p w14:paraId="2850C8DD" w14:textId="77777777" w:rsidR="00610512" w:rsidRDefault="00000000">
      <w:pPr>
        <w:rPr>
          <w:i/>
          <w:iCs/>
          <w:lang w:val="en-US" w:eastAsia="zh-CN"/>
        </w:rPr>
      </w:pPr>
      <w:r>
        <w:rPr>
          <w:i/>
          <w:iCs/>
          <w:lang w:val="en-US" w:eastAsia="zh-CN"/>
        </w:rPr>
        <w:t>Observation 1: SA4 assumes that sending a viewer pose aligned with the frame rate of the rendered video may be sufficient, for example at 60fps.</w:t>
      </w:r>
    </w:p>
    <w:p w14:paraId="4DFAD335" w14:textId="77777777" w:rsidR="00610512" w:rsidRDefault="00000000">
      <w:pPr>
        <w:rPr>
          <w:i/>
          <w:iCs/>
          <w:lang w:val="en-US" w:eastAsia="zh-CN"/>
        </w:rPr>
      </w:pPr>
      <w:r>
        <w:rPr>
          <w:i/>
          <w:iCs/>
          <w:lang w:val="en-US" w:eastAsia="zh-CN"/>
        </w:rPr>
        <w:t>Observation 2: Option 2 impacts specification less and is more flexible than option 1.</w:t>
      </w:r>
    </w:p>
    <w:p w14:paraId="2A85826E" w14:textId="77777777" w:rsidR="00610512" w:rsidRDefault="00000000">
      <w:pPr>
        <w:rPr>
          <w:rFonts w:cs="Arial"/>
          <w:color w:val="000000"/>
          <w:lang w:val="en-US" w:eastAsia="zh-CN"/>
        </w:rPr>
      </w:pPr>
      <w:r>
        <w:rPr>
          <w:b/>
          <w:bCs/>
          <w:lang w:val="en-US" w:eastAsia="zh-CN"/>
        </w:rPr>
        <w:t>Proposal 7: The HARQ modeB currently used for NTN can be reused for TN if RAN2 confirms that enhancements for XR pose service with small periodicity are necessary.</w:t>
      </w:r>
    </w:p>
    <w:p w14:paraId="5EE97832" w14:textId="77777777" w:rsidR="0061051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3DB505E2" w14:textId="77777777" w:rsidR="00610512"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64AF8245" w14:textId="77777777" w:rsidR="00610512"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3C2582BC" w14:textId="77777777" w:rsidR="00610512"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06152ED5" w14:textId="77777777" w:rsidR="00610512"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R2-2300086 Reply LS on Pose Information for XR</w:t>
      </w:r>
      <w:r>
        <w:rPr>
          <w:rFonts w:cs="Arial"/>
          <w:color w:val="000000"/>
          <w:sz w:val="21"/>
          <w:lang w:val="en-US"/>
        </w:rPr>
        <w:t>, RAN2#121, February, 2023</w:t>
      </w:r>
    </w:p>
    <w:p w14:paraId="75B24E42" w14:textId="77777777" w:rsidR="00610512"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471329C" w14:textId="77777777" w:rsidR="00610512" w:rsidRDefault="00610512">
      <w:pPr>
        <w:pStyle w:val="NormalWeb"/>
        <w:spacing w:before="75" w:beforeAutospacing="0" w:after="75" w:afterAutospacing="0" w:line="315" w:lineRule="atLeast"/>
        <w:rPr>
          <w:rFonts w:cs="Arial"/>
          <w:color w:val="000000"/>
          <w:sz w:val="21"/>
        </w:rPr>
      </w:pPr>
    </w:p>
    <w:sectPr w:rsidR="00610512">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D8AA" w14:textId="77777777" w:rsidR="00B36969" w:rsidRDefault="00B36969">
      <w:pPr>
        <w:spacing w:line="240" w:lineRule="auto"/>
      </w:pPr>
      <w:r>
        <w:separator/>
      </w:r>
    </w:p>
  </w:endnote>
  <w:endnote w:type="continuationSeparator" w:id="0">
    <w:p w14:paraId="134C6227" w14:textId="77777777" w:rsidR="00B36969" w:rsidRDefault="00B369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0D891" w14:textId="77777777" w:rsidR="00610512"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B0E58D" w14:textId="77777777" w:rsidR="00610512" w:rsidRDefault="006105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D5F" w14:textId="77777777" w:rsidR="00610512" w:rsidRDefault="0061051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CCCB" w14:textId="77777777" w:rsidR="00081234" w:rsidRDefault="00081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DD99" w14:textId="77777777" w:rsidR="00B36969" w:rsidRDefault="00B36969">
      <w:pPr>
        <w:spacing w:after="0"/>
      </w:pPr>
      <w:r>
        <w:separator/>
      </w:r>
    </w:p>
  </w:footnote>
  <w:footnote w:type="continuationSeparator" w:id="0">
    <w:p w14:paraId="013E09ED" w14:textId="77777777" w:rsidR="00B36969" w:rsidRDefault="00B369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59920" w14:textId="77777777" w:rsidR="00081234" w:rsidRDefault="000812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4114" w14:textId="77777777" w:rsidR="00610512" w:rsidRDefault="0061051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98E" w14:textId="77777777" w:rsidR="00081234" w:rsidRDefault="0008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5636D"/>
    <w:multiLevelType w:val="singleLevel"/>
    <w:tmpl w:val="C605636D"/>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7" w15:restartNumberingAfterBreak="0">
    <w:nsid w:val="6E21E74D"/>
    <w:multiLevelType w:val="singleLevel"/>
    <w:tmpl w:val="6E21E74D"/>
    <w:lvl w:ilvl="0">
      <w:start w:val="1"/>
      <w:numFmt w:val="bullet"/>
      <w:lvlText w:val=""/>
      <w:lvlJc w:val="left"/>
      <w:pPr>
        <w:ind w:left="420" w:hanging="420"/>
      </w:pPr>
      <w:rPr>
        <w:rFonts w:ascii="Wingdings" w:hAnsi="Wingdings" w:hint="default"/>
      </w:rPr>
    </w:lvl>
  </w:abstractNum>
  <w:abstractNum w:abstractNumId="8"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23071272">
    <w:abstractNumId w:val="1"/>
  </w:num>
  <w:num w:numId="2" w16cid:durableId="747580966">
    <w:abstractNumId w:val="5"/>
  </w:num>
  <w:num w:numId="3" w16cid:durableId="1861550545">
    <w:abstractNumId w:val="3"/>
  </w:num>
  <w:num w:numId="4" w16cid:durableId="1669476067">
    <w:abstractNumId w:val="4"/>
  </w:num>
  <w:num w:numId="5" w16cid:durableId="1354648513">
    <w:abstractNumId w:val="2"/>
  </w:num>
  <w:num w:numId="6" w16cid:durableId="97257386">
    <w:abstractNumId w:val="8"/>
  </w:num>
  <w:num w:numId="7" w16cid:durableId="1967420875">
    <w:abstractNumId w:val="0"/>
  </w:num>
  <w:num w:numId="8" w16cid:durableId="1706177489">
    <w:abstractNumId w:val="7"/>
  </w:num>
  <w:num w:numId="9" w16cid:durableId="11661702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73D1435"/>
    <w:rsid w:val="087D49D7"/>
    <w:rsid w:val="098B1EF5"/>
    <w:rsid w:val="09F00BD8"/>
    <w:rsid w:val="0A2501E1"/>
    <w:rsid w:val="0A4D7372"/>
    <w:rsid w:val="0B2C0FB7"/>
    <w:rsid w:val="0CBA1583"/>
    <w:rsid w:val="0D47430F"/>
    <w:rsid w:val="0E630E58"/>
    <w:rsid w:val="0E6F0740"/>
    <w:rsid w:val="0EAD067B"/>
    <w:rsid w:val="0EF13925"/>
    <w:rsid w:val="0F321E2D"/>
    <w:rsid w:val="0F586698"/>
    <w:rsid w:val="10DF3115"/>
    <w:rsid w:val="119953D1"/>
    <w:rsid w:val="131C76E1"/>
    <w:rsid w:val="1501485D"/>
    <w:rsid w:val="175D39E6"/>
    <w:rsid w:val="18685FEA"/>
    <w:rsid w:val="18A941C2"/>
    <w:rsid w:val="1A9B1F53"/>
    <w:rsid w:val="1B3D4012"/>
    <w:rsid w:val="1B481AFB"/>
    <w:rsid w:val="1D235F66"/>
    <w:rsid w:val="1D330706"/>
    <w:rsid w:val="1D665A9E"/>
    <w:rsid w:val="1D8D3AB3"/>
    <w:rsid w:val="1E21472F"/>
    <w:rsid w:val="1E64724C"/>
    <w:rsid w:val="1EB2633F"/>
    <w:rsid w:val="1F51614F"/>
    <w:rsid w:val="20705710"/>
    <w:rsid w:val="211E529B"/>
    <w:rsid w:val="232660FF"/>
    <w:rsid w:val="247F3404"/>
    <w:rsid w:val="248512BD"/>
    <w:rsid w:val="25A05924"/>
    <w:rsid w:val="2744098B"/>
    <w:rsid w:val="29F572ED"/>
    <w:rsid w:val="2A4A4D64"/>
    <w:rsid w:val="2AA14025"/>
    <w:rsid w:val="2AA823D6"/>
    <w:rsid w:val="2B2348E2"/>
    <w:rsid w:val="2C7F2EA6"/>
    <w:rsid w:val="2D1E05D5"/>
    <w:rsid w:val="2D9F1A0F"/>
    <w:rsid w:val="3003631E"/>
    <w:rsid w:val="3078124A"/>
    <w:rsid w:val="3090209F"/>
    <w:rsid w:val="30D1263C"/>
    <w:rsid w:val="31DE1118"/>
    <w:rsid w:val="326667AB"/>
    <w:rsid w:val="32C850C3"/>
    <w:rsid w:val="32D900A8"/>
    <w:rsid w:val="356C3834"/>
    <w:rsid w:val="3817459E"/>
    <w:rsid w:val="38FA0996"/>
    <w:rsid w:val="39193DDA"/>
    <w:rsid w:val="396E02FE"/>
    <w:rsid w:val="3AA26C9B"/>
    <w:rsid w:val="3ADC5E36"/>
    <w:rsid w:val="3C3F7E0E"/>
    <w:rsid w:val="3E7A082F"/>
    <w:rsid w:val="41D55858"/>
    <w:rsid w:val="42680181"/>
    <w:rsid w:val="437906BF"/>
    <w:rsid w:val="43D9533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830F29"/>
    <w:rsid w:val="56BF0EA2"/>
    <w:rsid w:val="56CE15F2"/>
    <w:rsid w:val="57A329FE"/>
    <w:rsid w:val="59414843"/>
    <w:rsid w:val="59996800"/>
    <w:rsid w:val="5A9A320F"/>
    <w:rsid w:val="5B2C56F7"/>
    <w:rsid w:val="5BDF3319"/>
    <w:rsid w:val="5D93468D"/>
    <w:rsid w:val="5DA17FA3"/>
    <w:rsid w:val="5EA87B0A"/>
    <w:rsid w:val="5EB119EE"/>
    <w:rsid w:val="5F8828F6"/>
    <w:rsid w:val="60920AA2"/>
    <w:rsid w:val="60A2104F"/>
    <w:rsid w:val="626E2D07"/>
    <w:rsid w:val="62B8321C"/>
    <w:rsid w:val="63766DF5"/>
    <w:rsid w:val="63A965A7"/>
    <w:rsid w:val="63E41E32"/>
    <w:rsid w:val="63E63410"/>
    <w:rsid w:val="64D368DF"/>
    <w:rsid w:val="655F4311"/>
    <w:rsid w:val="6684253E"/>
    <w:rsid w:val="66E97154"/>
    <w:rsid w:val="66F9171A"/>
    <w:rsid w:val="6761194F"/>
    <w:rsid w:val="67A01566"/>
    <w:rsid w:val="67A84465"/>
    <w:rsid w:val="69797C2C"/>
    <w:rsid w:val="69B46572"/>
    <w:rsid w:val="6AC81E68"/>
    <w:rsid w:val="6C8535FE"/>
    <w:rsid w:val="6D1112AB"/>
    <w:rsid w:val="6D735E56"/>
    <w:rsid w:val="6D935AB0"/>
    <w:rsid w:val="6E087119"/>
    <w:rsid w:val="6E6910B0"/>
    <w:rsid w:val="6F9E6B4A"/>
    <w:rsid w:val="6FD9623E"/>
    <w:rsid w:val="703C3353"/>
    <w:rsid w:val="70D03D2D"/>
    <w:rsid w:val="71173046"/>
    <w:rsid w:val="72E9489F"/>
    <w:rsid w:val="73E1565D"/>
    <w:rsid w:val="75544B2F"/>
    <w:rsid w:val="760A43BF"/>
    <w:rsid w:val="76995B35"/>
    <w:rsid w:val="7710320B"/>
    <w:rsid w:val="774464EA"/>
    <w:rsid w:val="77724862"/>
    <w:rsid w:val="783E4597"/>
    <w:rsid w:val="784A356F"/>
    <w:rsid w:val="78B25C80"/>
    <w:rsid w:val="7A265E0F"/>
    <w:rsid w:val="7B82113C"/>
    <w:rsid w:val="7BE208A5"/>
    <w:rsid w:val="7C396B41"/>
    <w:rsid w:val="7D2A73BF"/>
    <w:rsid w:val="7D87285F"/>
    <w:rsid w:val="7DDB64D4"/>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9C85"/>
  <w15:docId w15:val="{78D8DC08-239A-456D-B1D1-EF51BFDA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rPr>
      <w:kern w:val="2"/>
      <w:sz w:val="21"/>
      <w:szCs w:val="21"/>
    </w:rPr>
  </w:style>
  <w:style w:type="paragraph" w:styleId="Revision">
    <w:name w:val="Revision"/>
    <w:hidden/>
    <w:uiPriority w:val="99"/>
    <w:semiHidden/>
    <w:rsid w:val="008E05C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237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1575</Words>
  <Characters>8984</Characters>
  <Application>Microsoft Office Word</Application>
  <DocSecurity>0</DocSecurity>
  <Lines>74</Lines>
  <Paragraphs>21</Paragraphs>
  <ScaleCrop>false</ScaleCrop>
  <Company>Hewlett-Packard Company</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2023-02-15T10:13:00Z</dcterms:created>
  <dcterms:modified xsi:type="dcterms:W3CDTF">2023-05-11T15:43:00Z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